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01" w:rsidRPr="00DB4701" w:rsidRDefault="00DB4701" w:rsidP="00DB4701">
      <w:pPr>
        <w:pStyle w:val="rozdzial"/>
        <w:jc w:val="center"/>
        <w:rPr>
          <w:rFonts w:ascii="Humanst521EUNormal" w:hAnsi="Humanst521EUNormal" w:cs="Humanst521EUNormal"/>
          <w:b w:val="0"/>
          <w:bCs w:val="0"/>
          <w:position w:val="0"/>
          <w:sz w:val="36"/>
          <w:szCs w:val="36"/>
        </w:rPr>
      </w:pPr>
      <w:r w:rsidRPr="00DB4701">
        <w:rPr>
          <w:rFonts w:ascii="Humanst521EUNormal" w:hAnsi="Humanst521EUNormal" w:cs="Humanst521EUNormal"/>
          <w:bCs w:val="0"/>
          <w:position w:val="0"/>
          <w:sz w:val="36"/>
          <w:szCs w:val="36"/>
        </w:rPr>
        <w:t>W</w:t>
      </w:r>
      <w:r w:rsidR="00824359" w:rsidRPr="00DB4701">
        <w:rPr>
          <w:rFonts w:ascii="Humanst521EUNormal" w:hAnsi="Humanst521EUNormal" w:cs="Humanst521EUNormal"/>
          <w:bCs w:val="0"/>
          <w:position w:val="0"/>
          <w:sz w:val="36"/>
          <w:szCs w:val="36"/>
        </w:rPr>
        <w:t>ymagania p</w:t>
      </w:r>
      <w:r w:rsidRPr="00DB4701">
        <w:rPr>
          <w:rFonts w:ascii="Humanst521EUNormal" w:hAnsi="Humanst521EUNormal" w:cs="Humanst521EUNormal"/>
          <w:bCs w:val="0"/>
          <w:position w:val="0"/>
          <w:sz w:val="36"/>
          <w:szCs w:val="36"/>
        </w:rPr>
        <w:t>rogramowe na poszczególne oceny z fizyki</w:t>
      </w:r>
      <w:r w:rsidRPr="00DB4701">
        <w:rPr>
          <w:rFonts w:ascii="Humanst521EUNormal" w:hAnsi="Humanst521EUNormal" w:cs="Humanst521EUNormal"/>
          <w:b w:val="0"/>
          <w:bCs w:val="0"/>
          <w:position w:val="0"/>
          <w:sz w:val="36"/>
          <w:szCs w:val="36"/>
        </w:rPr>
        <w:t xml:space="preserve"> </w:t>
      </w:r>
    </w:p>
    <w:p w:rsidR="00B92CD6" w:rsidRPr="00DB4701" w:rsidRDefault="00DB4701" w:rsidP="00DB4701">
      <w:pPr>
        <w:pStyle w:val="rozdzial"/>
        <w:jc w:val="center"/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</w:pPr>
      <w:r w:rsidRPr="00DB4701"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  <w:t xml:space="preserve">przygotowane na podstawie treści zawartych w podstawie programowej, programie nauczania, podręczniku dla klasy siódmej szkoły podstawowej </w:t>
      </w:r>
      <w:r w:rsidRPr="00DB4701"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  <w:br/>
        <w:t>"Spotkania z fizyką" Grażyny Francuz - Ornat,</w:t>
      </w:r>
      <w:r w:rsidR="00967F0C"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  <w:t xml:space="preserve"> Teresy Kulawik, Marii Nowotny - </w:t>
      </w:r>
      <w:r w:rsidR="002F059C"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  <w:t xml:space="preserve">Różańskiej </w:t>
      </w:r>
      <w:r w:rsidRPr="00DB4701"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  <w:t>oraz propozycji przedmiotowego systemu ocenia Teresy Szalewskiej.</w:t>
      </w:r>
    </w:p>
    <w:p w:rsidR="00DB4701" w:rsidRPr="00C127F1" w:rsidRDefault="00DB4701" w:rsidP="00824359">
      <w:pPr>
        <w:pStyle w:val="rozdzial"/>
      </w:pP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DB4701" w:rsidRDefault="00902585">
            <w:pPr>
              <w:pStyle w:val="tabelaglowatabela"/>
              <w:rPr>
                <w:color w:val="auto"/>
                <w:sz w:val="22"/>
                <w:szCs w:val="22"/>
              </w:rPr>
            </w:pPr>
            <w:r w:rsidRPr="00DB4701">
              <w:rPr>
                <w:color w:val="auto"/>
                <w:sz w:val="22"/>
                <w:szCs w:val="22"/>
              </w:rP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DB4701" w:rsidRDefault="00902585">
            <w:pPr>
              <w:pStyle w:val="tabelaglowatabela"/>
              <w:rPr>
                <w:color w:val="auto"/>
                <w:sz w:val="22"/>
                <w:szCs w:val="22"/>
              </w:rPr>
            </w:pPr>
            <w:r w:rsidRPr="00DB4701">
              <w:rPr>
                <w:color w:val="auto"/>
                <w:sz w:val="22"/>
                <w:szCs w:val="22"/>
              </w:rP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DB4701" w:rsidRDefault="00902585">
            <w:pPr>
              <w:pStyle w:val="tabelaglowatabela"/>
              <w:rPr>
                <w:color w:val="auto"/>
                <w:sz w:val="22"/>
                <w:szCs w:val="22"/>
              </w:rPr>
            </w:pPr>
            <w:r w:rsidRPr="00DB4701">
              <w:rPr>
                <w:color w:val="auto"/>
                <w:sz w:val="22"/>
                <w:szCs w:val="22"/>
              </w:rP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DB4701" w:rsidRDefault="00902585">
            <w:pPr>
              <w:pStyle w:val="tabelaglowatabela"/>
              <w:rPr>
                <w:color w:val="auto"/>
                <w:sz w:val="22"/>
                <w:szCs w:val="22"/>
              </w:rPr>
            </w:pPr>
            <w:r w:rsidRPr="00DB4701">
              <w:rPr>
                <w:color w:val="auto"/>
                <w:sz w:val="22"/>
                <w:szCs w:val="22"/>
              </w:rPr>
              <w:t>Stopień bardzo dobry</w:t>
            </w:r>
          </w:p>
        </w:tc>
      </w:tr>
      <w:tr w:rsidR="009C60D0" w:rsidRPr="002F059C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2F059C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wykonuje doświadczenie (badanie rozciągania gumki lub sprężyny), korzystając </w:t>
            </w:r>
            <w:r w:rsidRPr="00C127F1">
              <w:lastRenderedPageBreak/>
              <w:t>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251BDB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>
              <w:t>roz</w:t>
            </w:r>
            <w:r w:rsidR="009C60D0" w:rsidRPr="00C127F1">
              <w:t>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 xml:space="preserve">ważącej za pomocą siłomierza, korzystając </w:t>
            </w:r>
            <w:r w:rsidRPr="00C127F1">
              <w:lastRenderedPageBreak/>
              <w:t>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oblicza średnią siłę i zapisuje wynik zgodnie </w:t>
            </w:r>
            <w:r w:rsidRPr="00C127F1">
              <w:lastRenderedPageBreak/>
              <w:t>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</w:t>
            </w:r>
            <w:r w:rsidR="00251BDB">
              <w:t xml:space="preserve"> popularnonaukowej, z </w:t>
            </w:r>
            <w:proofErr w:type="spellStart"/>
            <w:r w:rsidR="00251BDB">
              <w:t>internetu</w:t>
            </w:r>
            <w:proofErr w:type="spellEnd"/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2F059C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2F059C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wyjaśnia napięcie powierzchniowe jako skutek </w:t>
            </w:r>
            <w:r w:rsidRPr="00C127F1">
              <w:lastRenderedPageBreak/>
              <w:t>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 xml:space="preserve">-, kilo-, mega-); </w:t>
            </w:r>
            <w:r w:rsidRPr="00C127F1">
              <w:lastRenderedPageBreak/>
              <w:t>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 xml:space="preserve">przyspieszeniem grawitacyjnym oraz </w:t>
            </w:r>
            <w:r w:rsidRPr="0011106B">
              <w:lastRenderedPageBreak/>
              <w:t>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lastRenderedPageBreak/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lastRenderedPageBreak/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</w:t>
            </w:r>
            <w:r w:rsidRPr="00C127F1">
              <w:lastRenderedPageBreak/>
              <w:t xml:space="preserve">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2F059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lastRenderedPageBreak/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lastRenderedPageBreak/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 pomiaru wraz z jego jednostką oraz z uwzględnieniem informacji o niepewności; </w:t>
            </w:r>
            <w:r w:rsidRPr="00C127F1">
              <w:lastRenderedPageBreak/>
              <w:t>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2F059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 xml:space="preserve">ady </w:t>
            </w:r>
            <w:r w:rsidRPr="0011106B">
              <w:lastRenderedPageBreak/>
              <w:t>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lastRenderedPageBreak/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F4191C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F4191C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 xml:space="preserve">prostoliniowego jednostajnie zmiennego </w:t>
            </w:r>
            <w:r w:rsidRPr="0011106B">
              <w:lastRenderedPageBreak/>
              <w:t>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191C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F4191C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F4191C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F4191C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F4191C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F4191C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F4191C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F4191C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 xml:space="preserve">mi z analizy przeczytanych tekstów </w:t>
            </w:r>
            <w:r w:rsidRPr="00C127F1">
              <w:lastRenderedPageBreak/>
              <w:t>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2F059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lastRenderedPageBreak/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</w:t>
            </w:r>
            <w:r w:rsidRPr="00C127F1">
              <w:lastRenderedPageBreak/>
              <w:t>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F4191C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F4191C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F4191C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2F059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pojęciem energii kinetycznej; </w:t>
            </w:r>
            <w:r w:rsidRPr="00C127F1">
              <w:lastRenderedPageBreak/>
              <w:t>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F4191C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F4191C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lastRenderedPageBreak/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F4191C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F4191C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</w:t>
            </w:r>
            <w:r w:rsidRPr="00C127F1">
              <w:lastRenderedPageBreak/>
              <w:t>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2F059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lastRenderedPageBreak/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 xml:space="preserve">wnętrznej spowodowane wykonaniem pracy </w:t>
            </w:r>
            <w:r w:rsidRPr="00C127F1">
              <w:lastRenderedPageBreak/>
              <w:t>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F4191C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F4191C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F4191C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F4191C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F4191C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F4191C" w:rsidRPr="00547B85">
              <w:fldChar w:fldCharType="end"/>
            </w:r>
            <w:r w:rsidRPr="00C127F1">
              <w:t xml:space="preserve">, zależności </w:t>
            </w:r>
            <w:r w:rsidR="00F4191C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F4191C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F4191C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lastRenderedPageBreak/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wyjaśnia, co dzieje się z energią pobieraną (lub oddawaną) przez mieszaninę substancji w stanie stałym i ciekłym (np. wody i lodu) podczas topnienia (lub krzepnięcia) w stałej </w:t>
            </w:r>
            <w:r w:rsidRPr="00C127F1">
              <w:lastRenderedPageBreak/>
              <w:t>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lastRenderedPageBreak/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w</w:t>
            </w:r>
            <w:r w:rsidR="00251BDB">
              <w:t xml:space="preserve"> </w:t>
            </w:r>
            <w:r w:rsidRPr="00C127F1">
              <w:t xml:space="preserve">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824359" w:rsidRDefault="00824359" w:rsidP="0082435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p w:rsidR="00824359" w:rsidRPr="00556787" w:rsidRDefault="00824359" w:rsidP="0082435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>
        <w:rPr>
          <w:rFonts w:ascii="Times New Roman" w:hAnsi="Times New Roman" w:cs="Times New Roman"/>
          <w:sz w:val="20"/>
          <w:szCs w:val="20"/>
        </w:rPr>
        <w:t>eści spoza podstawy programowej</w:t>
      </w:r>
      <w:r w:rsidR="00251BDB">
        <w:rPr>
          <w:rFonts w:ascii="Times New Roman" w:hAnsi="Times New Roman" w:cs="Times New Roman"/>
          <w:sz w:val="20"/>
          <w:szCs w:val="20"/>
        </w:rPr>
        <w:t>.</w:t>
      </w:r>
    </w:p>
    <w:sectPr w:rsidR="00824359" w:rsidRPr="00556787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84" w:rsidRDefault="00EF1684" w:rsidP="00BD0596">
      <w:r>
        <w:separator/>
      </w:r>
    </w:p>
  </w:endnote>
  <w:endnote w:type="continuationSeparator" w:id="0">
    <w:p w:rsidR="00EF1684" w:rsidRDefault="00EF1684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59" w:rsidRPr="00824359" w:rsidRDefault="00824359">
    <w:pPr>
      <w:pStyle w:val="Stopka"/>
      <w:rPr>
        <w:rFonts w:ascii="Times New Roman" w:hAnsi="Times New Roman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rPr>
          <w:rFonts w:ascii="Times New Roman" w:hAnsi="Times New Roman"/>
          <w:sz w:val="16"/>
          <w:szCs w:val="16"/>
        </w:rPr>
        <w:id w:val="5608985"/>
        <w:docPartObj>
          <w:docPartGallery w:val="Page Numbers (Bottom of Page)"/>
          <w:docPartUnique/>
        </w:docPartObj>
      </w:sdtPr>
      <w:sdtContent>
        <w:r w:rsidR="00F4191C" w:rsidRPr="00824359">
          <w:rPr>
            <w:rFonts w:ascii="Times New Roman" w:hAnsi="Times New Roman"/>
            <w:sz w:val="16"/>
            <w:szCs w:val="16"/>
          </w:rPr>
          <w:fldChar w:fldCharType="begin"/>
        </w:r>
        <w:r w:rsidRPr="00824359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="00F4191C" w:rsidRPr="00824359">
          <w:rPr>
            <w:rFonts w:ascii="Times New Roman" w:hAnsi="Times New Roman"/>
            <w:sz w:val="16"/>
            <w:szCs w:val="16"/>
          </w:rPr>
          <w:fldChar w:fldCharType="separate"/>
        </w:r>
        <w:r w:rsidR="002F059C">
          <w:rPr>
            <w:rFonts w:ascii="Times New Roman" w:hAnsi="Times New Roman"/>
            <w:noProof/>
            <w:sz w:val="16"/>
            <w:szCs w:val="16"/>
          </w:rPr>
          <w:t>17</w:t>
        </w:r>
        <w:r w:rsidR="00F4191C" w:rsidRPr="00824359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  <w:p w:rsidR="00824359" w:rsidRPr="00824359" w:rsidRDefault="00824359" w:rsidP="00824359">
    <w:pPr>
      <w:pStyle w:val="Stopka"/>
      <w:jc w:val="right"/>
      <w:rPr>
        <w:rFonts w:ascii="Times New Roman" w:hAnsi="Times New Roman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84" w:rsidRDefault="00EF1684" w:rsidP="00BD0596">
      <w:r>
        <w:separator/>
      </w:r>
    </w:p>
  </w:footnote>
  <w:footnote w:type="continuationSeparator" w:id="0">
    <w:p w:rsidR="00EF1684" w:rsidRDefault="00EF1684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59" w:rsidRDefault="00824359">
    <w:pPr>
      <w:pStyle w:val="Nagwek"/>
    </w:pPr>
  </w:p>
  <w:p w:rsidR="00824359" w:rsidRDefault="008243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44BB"/>
    <w:rsid w:val="000E7C17"/>
    <w:rsid w:val="00181897"/>
    <w:rsid w:val="00217674"/>
    <w:rsid w:val="00251BDB"/>
    <w:rsid w:val="00272901"/>
    <w:rsid w:val="002B11B2"/>
    <w:rsid w:val="002F059C"/>
    <w:rsid w:val="00372F93"/>
    <w:rsid w:val="003949A2"/>
    <w:rsid w:val="004D5A9F"/>
    <w:rsid w:val="00512715"/>
    <w:rsid w:val="005222FB"/>
    <w:rsid w:val="00556787"/>
    <w:rsid w:val="005C0F60"/>
    <w:rsid w:val="005C330A"/>
    <w:rsid w:val="0060697A"/>
    <w:rsid w:val="006233D8"/>
    <w:rsid w:val="0068280D"/>
    <w:rsid w:val="00760232"/>
    <w:rsid w:val="00791A66"/>
    <w:rsid w:val="00824359"/>
    <w:rsid w:val="00885CAA"/>
    <w:rsid w:val="008B6F68"/>
    <w:rsid w:val="00902585"/>
    <w:rsid w:val="009027AB"/>
    <w:rsid w:val="00967F0C"/>
    <w:rsid w:val="00990B1B"/>
    <w:rsid w:val="009C60D0"/>
    <w:rsid w:val="00A65C11"/>
    <w:rsid w:val="00A948B5"/>
    <w:rsid w:val="00AA4615"/>
    <w:rsid w:val="00AC092A"/>
    <w:rsid w:val="00AF6613"/>
    <w:rsid w:val="00B52C19"/>
    <w:rsid w:val="00B74762"/>
    <w:rsid w:val="00B92CD6"/>
    <w:rsid w:val="00BD0596"/>
    <w:rsid w:val="00C0057D"/>
    <w:rsid w:val="00C448AF"/>
    <w:rsid w:val="00C7648F"/>
    <w:rsid w:val="00D3238A"/>
    <w:rsid w:val="00D66680"/>
    <w:rsid w:val="00DB4701"/>
    <w:rsid w:val="00E35AE6"/>
    <w:rsid w:val="00ED323E"/>
    <w:rsid w:val="00EE3083"/>
    <w:rsid w:val="00EF1684"/>
    <w:rsid w:val="00EF64B8"/>
    <w:rsid w:val="00F4191C"/>
    <w:rsid w:val="00F44A1C"/>
    <w:rsid w:val="00F61ECD"/>
    <w:rsid w:val="00F812C3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674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2176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217674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217674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217674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217674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217674"/>
    <w:pPr>
      <w:jc w:val="center"/>
    </w:pPr>
  </w:style>
  <w:style w:type="character" w:customStyle="1" w:styleId="dzial-B">
    <w:name w:val="dzial-B"/>
    <w:uiPriority w:val="99"/>
    <w:rsid w:val="00217674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285D-1269-47FD-9776-06AA6732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6961</Words>
  <Characters>41771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Danuśka</cp:lastModifiedBy>
  <cp:revision>9</cp:revision>
  <dcterms:created xsi:type="dcterms:W3CDTF">2017-09-10T19:59:00Z</dcterms:created>
  <dcterms:modified xsi:type="dcterms:W3CDTF">2017-09-13T20:56:00Z</dcterms:modified>
</cp:coreProperties>
</file>